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2D" w:rsidRPr="00C5286D" w:rsidRDefault="0061182D" w:rsidP="0061182D">
      <w:pPr>
        <w:spacing w:after="0"/>
        <w:jc w:val="both"/>
        <w:rPr>
          <w:b/>
          <w:u w:val="single"/>
        </w:rPr>
      </w:pPr>
      <w:r w:rsidRPr="00C5286D">
        <w:rPr>
          <w:b/>
          <w:u w:val="single"/>
        </w:rPr>
        <w:t xml:space="preserve">Pourquoi le virus atténué de la rougeole utilisé comme vaccin </w:t>
      </w:r>
      <w:r w:rsidR="00150F92">
        <w:rPr>
          <w:b/>
          <w:u w:val="single"/>
        </w:rPr>
        <w:t>est</w:t>
      </w:r>
      <w:r w:rsidR="00150F92" w:rsidRPr="00C5286D">
        <w:rPr>
          <w:b/>
          <w:u w:val="single"/>
        </w:rPr>
        <w:t xml:space="preserve"> </w:t>
      </w:r>
      <w:r w:rsidRPr="00C5286D">
        <w:rPr>
          <w:b/>
          <w:u w:val="single"/>
        </w:rPr>
        <w:t xml:space="preserve">capable de tuer spontanément les cellules tumorales </w:t>
      </w:r>
      <w:r w:rsidR="00150F92">
        <w:rPr>
          <w:b/>
          <w:u w:val="single"/>
        </w:rPr>
        <w:t>mais</w:t>
      </w:r>
      <w:r w:rsidR="00150F92" w:rsidRPr="00C5286D">
        <w:rPr>
          <w:b/>
          <w:u w:val="single"/>
        </w:rPr>
        <w:t xml:space="preserve"> </w:t>
      </w:r>
      <w:r w:rsidRPr="00C5286D">
        <w:rPr>
          <w:b/>
          <w:u w:val="single"/>
        </w:rPr>
        <w:t>pas les cellules saines</w:t>
      </w:r>
    </w:p>
    <w:p w:rsidR="0061182D" w:rsidRDefault="0061182D" w:rsidP="0061182D">
      <w:pPr>
        <w:spacing w:after="0"/>
        <w:ind w:firstLine="708"/>
        <w:jc w:val="both"/>
      </w:pPr>
      <w:r>
        <w:t xml:space="preserve">Nous étudions la possibilité d’utiliser la souche vaccinale du virus de la rougeole (MV) comme médicament pour le traitement du </w:t>
      </w:r>
      <w:proofErr w:type="spellStart"/>
      <w:r>
        <w:t>mésothéliome</w:t>
      </w:r>
      <w:proofErr w:type="spellEnd"/>
      <w:r>
        <w:t xml:space="preserve"> pleural malin. Ce travail est effectué en collaboration avec le Dr Frédéric </w:t>
      </w:r>
      <w:proofErr w:type="spellStart"/>
      <w:r>
        <w:t>Tangy</w:t>
      </w:r>
      <w:proofErr w:type="spellEnd"/>
      <w:r>
        <w:t xml:space="preserve"> de l’</w:t>
      </w:r>
      <w:r w:rsidR="00150F92">
        <w:t>I</w:t>
      </w:r>
      <w:r>
        <w:t>nstitut Pasteur de Paris qui nous fournit le MV.</w:t>
      </w:r>
    </w:p>
    <w:p w:rsidR="0061182D" w:rsidRDefault="0061182D" w:rsidP="0061182D">
      <w:pPr>
        <w:spacing w:after="0"/>
        <w:ind w:firstLine="708"/>
        <w:jc w:val="both"/>
      </w:pPr>
      <w:r>
        <w:t xml:space="preserve">En 2015, nous avons montré que 70% des lignées de </w:t>
      </w:r>
      <w:proofErr w:type="spellStart"/>
      <w:r>
        <w:t>mésothéliome</w:t>
      </w:r>
      <w:proofErr w:type="spellEnd"/>
      <w:r>
        <w:t xml:space="preserve"> sont tuées par le MV, alors que les cellules saines et les 30% de lignées tumorales restantes ne le sont pas </w:t>
      </w:r>
      <w:r>
        <w:fldChar w:fldCharType="begin"/>
      </w:r>
      <w:r>
        <w:instrText xml:space="preserve"> ADDIN ZOTERO_ITEM CSL_CITATION {"citationID":"Lx0nVC4K","properties":{"formattedCitation":"\\super 1\\nosupersub{}","plainCitation":"1","noteIndex":0},"citationItems":[{"id":27,"uris":["http://zotero.org/users/local/O4hHWEdu/items/STQ8LPBZ"],"itemData":{"id":27,"type":"article-journal","container-title":"Oncotarget","DOI":"10.18632/oncotarget.6285","ISSN":"1949-2553","issue":"42","page":"44892—44904","title":"Sensitivity of human pleural mesothelioma to oncolytic measles virus depends on defects of the type I interferon response","volume":"6","author":[{"family":"Achard","given":"Carole"},{"family":"Boisgerault","given":"Nicolas"},{"family":"Delaunay","given":"Tiphaine"},{"family":"Roulois","given":"David"},{"family":"Nedellec","given":"Steven"},{"family":"Royer","given":"Pierre-Joseph"},{"family":"Pain","given":"Mallory"},{"family":"Combredet","given":"Chantal"},{"family":"Mesel-Lemoine","given":"Mariana"},{"family":"Cellerin","given":"Laurent"},{"family":"Magnan","given":"Antoine"},{"family":"Tangy","given":"Frédéric"},{"family":"Grégoire","given":"Marc"},{"family":"Fonteneau","given":"Jean-François"}],"issued":{"date-parts":[["2015",12]]}}}],"schema":"https://github.com/citation-style-language/schema/raw/master/csl-citation.json"} </w:instrText>
      </w:r>
      <w:r>
        <w:fldChar w:fldCharType="separate"/>
      </w:r>
      <w:r w:rsidRPr="0061182D">
        <w:rPr>
          <w:rFonts w:ascii="Calibri" w:hAnsi="Calibri" w:cs="Times New Roman"/>
          <w:szCs w:val="24"/>
          <w:vertAlign w:val="superscript"/>
        </w:rPr>
        <w:t>1</w:t>
      </w:r>
      <w:r>
        <w:fldChar w:fldCharType="end"/>
      </w:r>
      <w:r>
        <w:t xml:space="preserve">. Nous avons montré que cette sensibilité était due à des défauts dans leur capacité à se protéger d’une infection virale. En effet, toutes les cellules saines sont capables de se protéger d’une infection virale en produisant des interférons de type I. Nous avons montré que </w:t>
      </w:r>
      <w:r w:rsidR="00150F92">
        <w:t xml:space="preserve">dans </w:t>
      </w:r>
      <w:r>
        <w:t xml:space="preserve">70% des </w:t>
      </w:r>
      <w:r w:rsidR="00150F92">
        <w:t>lignées étudiées</w:t>
      </w:r>
      <w:r>
        <w:t xml:space="preserve">, les cellules tumorales ne sont plus capables de produire des Interférons de type I en réponse au virus et se font donc tuer par celui-ci. Inversement, les cellules tumorales résistantes et les cellules saines sont capables de produire des interférons de type I qui vont empêcher le virus de se multiplier et de tuer </w:t>
      </w:r>
      <w:r w:rsidR="00150F92">
        <w:t>des cellules supplémentaires</w:t>
      </w:r>
      <w:r>
        <w:t>.</w:t>
      </w:r>
    </w:p>
    <w:p w:rsidR="0061182D" w:rsidRDefault="0061182D" w:rsidP="0061182D">
      <w:pPr>
        <w:spacing w:after="0"/>
        <w:ind w:firstLine="708"/>
        <w:jc w:val="both"/>
      </w:pPr>
      <w:r>
        <w:t xml:space="preserve">Depuis 2015, nous avons identifié le défaut de la réponse interféron de type I le plus fréquent qui est la perte des gènes codant les interférons de type I </w:t>
      </w:r>
      <w:r>
        <w:fldChar w:fldCharType="begin"/>
      </w:r>
      <w:r>
        <w:instrText xml:space="preserve"> ADDIN ZOTERO_ITEM CSL_CITATION {"citationID":"t7rA0x4O","properties":{"formattedCitation":"\\super 2\\uc0\\u8211{}4\\nosupersub{}","plainCitation":"2–4","noteIndex":0},"citationItems":[{"id":13,"uris":["http://zotero.org/users/local/O4hHWEdu/items/HQXYKS86"],"itemData":{"id":13,"type":"article-journal","container-title":"Journal of thoracic oncology : official publication of the International Association for the Study of Lung Cancer","DOI":"10.1016/j.jtho.2019.12.128","ISSN":"1556-0864","issue":"5","page":"827—842","title":"Frequent Homozygous Deletions of Type I Interferon Genes in Pleural Mesothelioma Confer Sensitivity to Oncolytic Measles Virus","volume":"15","author":[{"family":"Delaunay","given":"Tiphaine"},{"family":"Achard","given":"Carole"},{"family":"Boisgerault","given":"Nicolas"},{"family":"Grard","given":"Marion"},{"family":"Petithomme","given":"Tacien"},{"family":"Chatelain","given":"Camille"},{"family":"Dutoit","given":"Soizic"},{"family":"Blanquart","given":"Christophe"},{"family":"Royer","given":"Pierre-Joseph"},{"family":"Minvielle","given":"Stéphane"},{"family":"Quetel","given":"Lisa"},{"family":"Meiller","given":"Clément"},{"family":"Jean","given":"Didier"},{"family":"Fradin","given":"Delphine"},{"family":"Bennouna","given":"Jaafar"},{"family":"Magnan","given":"Antoine"},{"family":"Cellerin","given":"Laurent"},{"family":"Tangy","given":"Frédéric"},{"family":"Grégoire","given":"Marc"},{"family":"Fonteneau","given":"Jean-François"}],"issued":{"date-parts":[["2020",5]]}}},{"id":11,"uris":["http://zotero.org/users/local/O4hHWEdu/items/DJIANH68"],"itemData":{"id":11,"type":"article-journal","container-title":"Journal of thoracic oncology : official publication of the International Association for the Study of Lung Cancer","DOI":"10.1016/j.jtho.2020.04.011","ISSN":"1556-0864","issue":"7","page":"e113—e116","title":"Reply to: Oncolytic Viral Therapy for Malignant Pleural Mesothelioma","volume":"15","author":[{"family":"Jean","given":"Didier"},{"family":"Delaunay","given":"Tiphaine"},{"family":"Meiller","given":"Clément"},{"family":"Boisgerault","given":"Nicolas"},{"family":"Grard","given":"Marion"},{"family":"Caruso","given":"Stefano"},{"family":"Blanquart","given":"Christophe"},{"family":"Felley-Bosco","given":"Emanuela"},{"family":"Bennouna","given":"Jaafar"},{"family":"Tangy","given":"Frédéric"},{"family":"Grégoire","given":"Marc"},{"family":"Fonteneau","given":"Jean-François"}],"issued":{"date-parts":[["2020",7]]}}},{"id":77,"uris":["http://zotero.org/users/local/O4hHWEdu/items/FF8W9D2K"],"itemData":{"id":77,"type":"article-journal","container-title":"Front Oncol","DOI":"10.3389/fonc.2021.695770","ISSN":"2234-943X (Print) 2234-943X (Linking)","note":"type: Journal Article","page":"695770","title":"Homozygous Co-Deletion of Type I Interferons and CDKN2A Genes in Thoracic Cancers: Potential Consequences for Therapy","volume":"11","author":[{"family":"Grard","given":"M."},{"family":"Chatelain","given":"C."},{"family":"Delaunay","given":"T."},{"family":"Pons-Tostivint","given":"E."},{"family":"Bennouna","given":"J."},{"family":"Fonteneau","given":"J. F."}],"issued":{"date-parts":[["2021"]]}}}],"schema":"https://github.com/citation-style-language/schema/raw/master/csl-citation.json"} </w:instrText>
      </w:r>
      <w:r>
        <w:fldChar w:fldCharType="separate"/>
      </w:r>
      <w:r w:rsidRPr="0061182D">
        <w:rPr>
          <w:rFonts w:ascii="Calibri" w:hAnsi="Calibri" w:cs="Times New Roman"/>
          <w:szCs w:val="24"/>
          <w:vertAlign w:val="superscript"/>
        </w:rPr>
        <w:t>2–4</w:t>
      </w:r>
      <w:r>
        <w:fldChar w:fldCharType="end"/>
      </w:r>
      <w:r>
        <w:t xml:space="preserve">. Nous poursuivons actuellement notre étude pour identifier les défauts de réponse pour l’autre moitié des lignées de </w:t>
      </w:r>
      <w:proofErr w:type="spellStart"/>
      <w:r>
        <w:t>mésothéliome</w:t>
      </w:r>
      <w:proofErr w:type="spellEnd"/>
      <w:r>
        <w:t xml:space="preserve"> que nous avons testées. Ceci devrait permettre de mieux cibler les patients qui pourront être traités et d’apporter des améliorations sur le </w:t>
      </w:r>
      <w:r w:rsidR="00150F92">
        <w:t xml:space="preserve">virus </w:t>
      </w:r>
      <w:r>
        <w:t>pour les patients qui seraient résistants au traitement.</w:t>
      </w:r>
    </w:p>
    <w:p w:rsidR="0061182D" w:rsidRDefault="0061182D" w:rsidP="0061182D">
      <w:pPr>
        <w:spacing w:after="0"/>
        <w:jc w:val="both"/>
      </w:pPr>
    </w:p>
    <w:p w:rsidR="0061182D" w:rsidRDefault="0061182D" w:rsidP="0061182D">
      <w:pPr>
        <w:spacing w:after="0"/>
        <w:jc w:val="both"/>
      </w:pPr>
      <w:r w:rsidRPr="00243E4E">
        <w:rPr>
          <w:noProof/>
          <w:lang w:eastAsia="fr-FR"/>
        </w:rPr>
        <w:drawing>
          <wp:inline distT="0" distB="0" distL="0" distR="0" wp14:anchorId="664AF97B" wp14:editId="6551D8F2">
            <wp:extent cx="5760720" cy="2348230"/>
            <wp:effectExtent l="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82D" w:rsidRPr="00707230" w:rsidRDefault="0061182D" w:rsidP="0061182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18"/>
          <w:szCs w:val="18"/>
          <w:u w:val="single"/>
        </w:rPr>
      </w:pPr>
      <w:r>
        <w:rPr>
          <w:rFonts w:asciiTheme="minorHAnsi" w:hAnsiTheme="minorHAnsi"/>
          <w:i/>
          <w:sz w:val="18"/>
          <w:szCs w:val="18"/>
          <w:u w:val="single"/>
        </w:rPr>
        <w:t>Figure 2 : sensibilité</w:t>
      </w:r>
      <w:r w:rsidRPr="00707230">
        <w:rPr>
          <w:rFonts w:asciiTheme="minorHAnsi" w:hAnsiTheme="minorHAnsi"/>
          <w:i/>
          <w:sz w:val="18"/>
          <w:szCs w:val="18"/>
          <w:u w:val="single"/>
        </w:rPr>
        <w:t xml:space="preserve"> des lignées cellulaires de </w:t>
      </w:r>
      <w:proofErr w:type="spellStart"/>
      <w:r w:rsidRPr="00707230">
        <w:rPr>
          <w:rFonts w:asciiTheme="minorHAnsi" w:hAnsiTheme="minorHAnsi"/>
          <w:i/>
          <w:sz w:val="18"/>
          <w:szCs w:val="18"/>
          <w:u w:val="single"/>
        </w:rPr>
        <w:t>mésothéliome</w:t>
      </w:r>
      <w:proofErr w:type="spellEnd"/>
      <w:r w:rsidRPr="00707230">
        <w:rPr>
          <w:rFonts w:asciiTheme="minorHAnsi" w:hAnsiTheme="minorHAnsi"/>
          <w:i/>
          <w:sz w:val="18"/>
          <w:szCs w:val="18"/>
          <w:u w:val="single"/>
        </w:rPr>
        <w:t xml:space="preserve"> au virus vaccinal de la rougeole</w:t>
      </w:r>
      <w:r>
        <w:rPr>
          <w:rFonts w:asciiTheme="minorHAnsi" w:hAnsiTheme="minorHAnsi"/>
          <w:i/>
          <w:sz w:val="18"/>
          <w:szCs w:val="18"/>
          <w:u w:val="single"/>
        </w:rPr>
        <w:t xml:space="preserve"> (chacune des 22 lignées tumorales de </w:t>
      </w:r>
      <w:proofErr w:type="spellStart"/>
      <w:r>
        <w:rPr>
          <w:rFonts w:asciiTheme="minorHAnsi" w:hAnsiTheme="minorHAnsi"/>
          <w:i/>
          <w:sz w:val="18"/>
          <w:szCs w:val="18"/>
          <w:u w:val="single"/>
        </w:rPr>
        <w:t>mésothéliome</w:t>
      </w:r>
      <w:proofErr w:type="spellEnd"/>
      <w:r>
        <w:rPr>
          <w:rFonts w:asciiTheme="minorHAnsi" w:hAnsiTheme="minorHAnsi"/>
          <w:i/>
          <w:sz w:val="18"/>
          <w:szCs w:val="18"/>
          <w:u w:val="single"/>
        </w:rPr>
        <w:t xml:space="preserve"> vient d’un patient différent)</w:t>
      </w:r>
    </w:p>
    <w:p w:rsidR="00E80E0E" w:rsidRDefault="00723953"/>
    <w:p w:rsidR="0061182D" w:rsidRDefault="0061182D" w:rsidP="0061182D">
      <w:pPr>
        <w:pStyle w:val="Bibliographie"/>
        <w:spacing w:after="0"/>
        <w:rPr>
          <w:sz w:val="18"/>
          <w:szCs w:val="18"/>
        </w:rPr>
      </w:pPr>
    </w:p>
    <w:p w:rsidR="0061182D" w:rsidRPr="0061182D" w:rsidRDefault="0061182D" w:rsidP="0061182D">
      <w:pPr>
        <w:pStyle w:val="Bibliographie"/>
        <w:spacing w:after="0"/>
        <w:rPr>
          <w:rFonts w:ascii="Calibri" w:hAnsi="Calibri"/>
          <w:sz w:val="18"/>
          <w:szCs w:val="18"/>
        </w:rPr>
      </w:pPr>
      <w:r w:rsidRPr="0061182D">
        <w:rPr>
          <w:sz w:val="18"/>
          <w:szCs w:val="18"/>
        </w:rPr>
        <w:fldChar w:fldCharType="begin"/>
      </w:r>
      <w:r w:rsidRPr="0061182D">
        <w:rPr>
          <w:sz w:val="18"/>
          <w:szCs w:val="18"/>
        </w:rPr>
        <w:instrText xml:space="preserve"> ADDIN ZOTERO_BIBL {"uncited":[],"omitted":[],"custom":[]} CSL_BIBLIOGRAPHY </w:instrText>
      </w:r>
      <w:r w:rsidRPr="0061182D">
        <w:rPr>
          <w:sz w:val="18"/>
          <w:szCs w:val="18"/>
        </w:rPr>
        <w:fldChar w:fldCharType="separate"/>
      </w:r>
      <w:r w:rsidRPr="0061182D">
        <w:rPr>
          <w:rFonts w:ascii="Calibri" w:hAnsi="Calibri"/>
          <w:sz w:val="18"/>
          <w:szCs w:val="18"/>
        </w:rPr>
        <w:t>1.</w:t>
      </w:r>
      <w:r w:rsidRPr="0061182D">
        <w:rPr>
          <w:rFonts w:ascii="Calibri" w:hAnsi="Calibri"/>
          <w:sz w:val="18"/>
          <w:szCs w:val="18"/>
        </w:rPr>
        <w:tab/>
        <w:t xml:space="preserve">Achard C, Boisgerault N, Delaunay T, et al. </w:t>
      </w:r>
      <w:r w:rsidRPr="0061182D">
        <w:rPr>
          <w:rFonts w:ascii="Calibri" w:hAnsi="Calibri"/>
          <w:sz w:val="18"/>
          <w:szCs w:val="18"/>
          <w:lang w:val="en-US"/>
        </w:rPr>
        <w:t xml:space="preserve">Sensitivity of human pleural mesothelioma to oncolytic measles virus depends on defects of the type I interferon response. </w:t>
      </w:r>
      <w:r w:rsidRPr="0061182D">
        <w:rPr>
          <w:rFonts w:ascii="Calibri" w:hAnsi="Calibri"/>
          <w:i/>
          <w:iCs/>
          <w:sz w:val="18"/>
          <w:szCs w:val="18"/>
        </w:rPr>
        <w:t>Oncotarget</w:t>
      </w:r>
      <w:r w:rsidRPr="0061182D">
        <w:rPr>
          <w:rFonts w:ascii="Calibri" w:hAnsi="Calibri"/>
          <w:sz w:val="18"/>
          <w:szCs w:val="18"/>
        </w:rPr>
        <w:t>. 2015;6(42):44892—44904. doi:10.18632/oncotarget.6285</w:t>
      </w:r>
    </w:p>
    <w:p w:rsidR="0061182D" w:rsidRPr="00723953" w:rsidRDefault="0061182D" w:rsidP="0061182D">
      <w:pPr>
        <w:pStyle w:val="Bibliographie"/>
        <w:spacing w:after="0"/>
        <w:rPr>
          <w:rFonts w:ascii="Calibri" w:hAnsi="Calibri"/>
          <w:sz w:val="18"/>
          <w:szCs w:val="18"/>
          <w:lang w:val="en-US"/>
        </w:rPr>
      </w:pPr>
      <w:r w:rsidRPr="0061182D">
        <w:rPr>
          <w:rFonts w:ascii="Calibri" w:hAnsi="Calibri"/>
          <w:sz w:val="18"/>
          <w:szCs w:val="18"/>
        </w:rPr>
        <w:t>2.</w:t>
      </w:r>
      <w:r w:rsidRPr="0061182D">
        <w:rPr>
          <w:rFonts w:ascii="Calibri" w:hAnsi="Calibri"/>
          <w:sz w:val="18"/>
          <w:szCs w:val="18"/>
        </w:rPr>
        <w:tab/>
        <w:t xml:space="preserve">Delaunay T, Achard C, Boisgerault N, et al. </w:t>
      </w:r>
      <w:r w:rsidRPr="0061182D">
        <w:rPr>
          <w:rFonts w:ascii="Calibri" w:hAnsi="Calibri"/>
          <w:sz w:val="18"/>
          <w:szCs w:val="18"/>
          <w:lang w:val="en-US"/>
        </w:rPr>
        <w:t xml:space="preserve">Frequent Homozygous Deletions of Type I Interferon Genes in Pleural Mesothelioma Confer Sensitivity to Oncolytic Measles Virus. </w:t>
      </w:r>
      <w:r w:rsidRPr="0061182D">
        <w:rPr>
          <w:rFonts w:ascii="Calibri" w:hAnsi="Calibri"/>
          <w:i/>
          <w:iCs/>
          <w:sz w:val="18"/>
          <w:szCs w:val="18"/>
          <w:lang w:val="en-US"/>
        </w:rPr>
        <w:t>Journal of thoracic oncology </w:t>
      </w:r>
      <w:r w:rsidRPr="0061182D">
        <w:rPr>
          <w:rFonts w:ascii="Calibri" w:hAnsi="Calibri"/>
          <w:sz w:val="18"/>
          <w:szCs w:val="18"/>
          <w:lang w:val="en-US"/>
        </w:rPr>
        <w:t xml:space="preserve"> </w:t>
      </w:r>
      <w:r w:rsidRPr="00723953">
        <w:rPr>
          <w:rFonts w:ascii="Calibri" w:hAnsi="Calibri"/>
          <w:sz w:val="18"/>
          <w:szCs w:val="18"/>
          <w:lang w:val="en-US"/>
        </w:rPr>
        <w:t>2020</w:t>
      </w:r>
      <w:proofErr w:type="gramStart"/>
      <w:r w:rsidRPr="00723953">
        <w:rPr>
          <w:rFonts w:ascii="Calibri" w:hAnsi="Calibri"/>
          <w:sz w:val="18"/>
          <w:szCs w:val="18"/>
          <w:lang w:val="en-US"/>
        </w:rPr>
        <w:t>;15</w:t>
      </w:r>
      <w:proofErr w:type="gramEnd"/>
      <w:r w:rsidRPr="00723953">
        <w:rPr>
          <w:rFonts w:ascii="Calibri" w:hAnsi="Calibri"/>
          <w:sz w:val="18"/>
          <w:szCs w:val="18"/>
          <w:lang w:val="en-US"/>
        </w:rPr>
        <w:t>(5):827—842. doi:10.1016/j.jtho.2019.12.128</w:t>
      </w:r>
    </w:p>
    <w:p w:rsidR="0061182D" w:rsidRPr="00723953" w:rsidRDefault="0061182D" w:rsidP="0061182D">
      <w:pPr>
        <w:pStyle w:val="Bibliographie"/>
        <w:spacing w:after="0"/>
        <w:rPr>
          <w:rFonts w:ascii="Calibri" w:hAnsi="Calibri"/>
          <w:sz w:val="18"/>
          <w:szCs w:val="18"/>
          <w:lang w:val="en-US"/>
        </w:rPr>
      </w:pPr>
      <w:r w:rsidRPr="00723953">
        <w:rPr>
          <w:rFonts w:ascii="Calibri" w:hAnsi="Calibri"/>
          <w:sz w:val="18"/>
          <w:szCs w:val="18"/>
          <w:lang w:val="en-US"/>
        </w:rPr>
        <w:t>3.</w:t>
      </w:r>
      <w:r w:rsidRPr="00723953">
        <w:rPr>
          <w:rFonts w:ascii="Calibri" w:hAnsi="Calibri"/>
          <w:sz w:val="18"/>
          <w:szCs w:val="18"/>
          <w:lang w:val="en-US"/>
        </w:rPr>
        <w:tab/>
        <w:t xml:space="preserve">Jean D, Delaunay T, </w:t>
      </w:r>
      <w:proofErr w:type="spellStart"/>
      <w:r w:rsidRPr="00723953">
        <w:rPr>
          <w:rFonts w:ascii="Calibri" w:hAnsi="Calibri"/>
          <w:sz w:val="18"/>
          <w:szCs w:val="18"/>
          <w:lang w:val="en-US"/>
        </w:rPr>
        <w:t>Meiller</w:t>
      </w:r>
      <w:proofErr w:type="spellEnd"/>
      <w:r w:rsidRPr="00723953">
        <w:rPr>
          <w:rFonts w:ascii="Calibri" w:hAnsi="Calibri"/>
          <w:sz w:val="18"/>
          <w:szCs w:val="18"/>
          <w:lang w:val="en-US"/>
        </w:rPr>
        <w:t xml:space="preserve"> C, et al. </w:t>
      </w:r>
      <w:r w:rsidRPr="0061182D">
        <w:rPr>
          <w:rFonts w:ascii="Calibri" w:hAnsi="Calibri"/>
          <w:sz w:val="18"/>
          <w:szCs w:val="18"/>
          <w:lang w:val="en-US"/>
        </w:rPr>
        <w:t xml:space="preserve">Reply to: Oncolytic Viral Therapy for Malignant Pleural Mesothelioma. </w:t>
      </w:r>
      <w:r>
        <w:rPr>
          <w:rFonts w:ascii="Calibri" w:hAnsi="Calibri"/>
          <w:i/>
          <w:iCs/>
          <w:sz w:val="18"/>
          <w:szCs w:val="18"/>
          <w:lang w:val="en-US"/>
        </w:rPr>
        <w:t>Journal of thoracic oncology </w:t>
      </w:r>
      <w:bookmarkStart w:id="0" w:name="_GoBack"/>
      <w:r w:rsidRPr="00723953">
        <w:rPr>
          <w:rFonts w:ascii="Calibri" w:hAnsi="Calibri"/>
          <w:sz w:val="18"/>
          <w:szCs w:val="18"/>
          <w:lang w:val="en-US"/>
        </w:rPr>
        <w:t>2020</w:t>
      </w:r>
      <w:proofErr w:type="gramStart"/>
      <w:r w:rsidRPr="00723953">
        <w:rPr>
          <w:rFonts w:ascii="Calibri" w:hAnsi="Calibri"/>
          <w:sz w:val="18"/>
          <w:szCs w:val="18"/>
          <w:lang w:val="en-US"/>
        </w:rPr>
        <w:t>;15</w:t>
      </w:r>
      <w:proofErr w:type="gramEnd"/>
      <w:r w:rsidRPr="00723953">
        <w:rPr>
          <w:rFonts w:ascii="Calibri" w:hAnsi="Calibri"/>
          <w:sz w:val="18"/>
          <w:szCs w:val="18"/>
          <w:lang w:val="en-US"/>
        </w:rPr>
        <w:t>(7):e113—e116. doi:10.1016/j.jtho.2020.04.011</w:t>
      </w:r>
    </w:p>
    <w:p w:rsidR="0061182D" w:rsidRPr="0061182D" w:rsidRDefault="0061182D" w:rsidP="0061182D">
      <w:pPr>
        <w:pStyle w:val="Bibliographie"/>
        <w:spacing w:after="0"/>
        <w:rPr>
          <w:rFonts w:ascii="Calibri" w:hAnsi="Calibri"/>
          <w:sz w:val="18"/>
          <w:szCs w:val="18"/>
        </w:rPr>
      </w:pPr>
      <w:r w:rsidRPr="00723953">
        <w:rPr>
          <w:rFonts w:ascii="Calibri" w:hAnsi="Calibri"/>
          <w:sz w:val="18"/>
          <w:szCs w:val="18"/>
          <w:lang w:val="en-US"/>
        </w:rPr>
        <w:t>4.</w:t>
      </w:r>
      <w:r w:rsidRPr="00723953">
        <w:rPr>
          <w:rFonts w:ascii="Calibri" w:hAnsi="Calibri"/>
          <w:sz w:val="18"/>
          <w:szCs w:val="18"/>
          <w:lang w:val="en-US"/>
        </w:rPr>
        <w:tab/>
      </w:r>
      <w:proofErr w:type="spellStart"/>
      <w:r w:rsidRPr="00723953">
        <w:rPr>
          <w:rFonts w:ascii="Calibri" w:hAnsi="Calibri"/>
          <w:sz w:val="18"/>
          <w:szCs w:val="18"/>
          <w:lang w:val="en-US"/>
        </w:rPr>
        <w:t>Grard</w:t>
      </w:r>
      <w:proofErr w:type="spellEnd"/>
      <w:r w:rsidRPr="00723953">
        <w:rPr>
          <w:rFonts w:ascii="Calibri" w:hAnsi="Calibri"/>
          <w:sz w:val="18"/>
          <w:szCs w:val="18"/>
          <w:lang w:val="en-US"/>
        </w:rPr>
        <w:t xml:space="preserve"> M, </w:t>
      </w:r>
      <w:proofErr w:type="spellStart"/>
      <w:r w:rsidRPr="00723953">
        <w:rPr>
          <w:rFonts w:ascii="Calibri" w:hAnsi="Calibri"/>
          <w:sz w:val="18"/>
          <w:szCs w:val="18"/>
          <w:lang w:val="en-US"/>
        </w:rPr>
        <w:t>Chatelain</w:t>
      </w:r>
      <w:proofErr w:type="spellEnd"/>
      <w:r w:rsidRPr="00723953">
        <w:rPr>
          <w:rFonts w:ascii="Calibri" w:hAnsi="Calibri"/>
          <w:sz w:val="18"/>
          <w:szCs w:val="18"/>
          <w:lang w:val="en-US"/>
        </w:rPr>
        <w:t xml:space="preserve"> C, Delaunay T, Pons-</w:t>
      </w:r>
      <w:proofErr w:type="spellStart"/>
      <w:r w:rsidRPr="00723953">
        <w:rPr>
          <w:rFonts w:ascii="Calibri" w:hAnsi="Calibri"/>
          <w:sz w:val="18"/>
          <w:szCs w:val="18"/>
          <w:lang w:val="en-US"/>
        </w:rPr>
        <w:t>Tostivint</w:t>
      </w:r>
      <w:proofErr w:type="spellEnd"/>
      <w:r w:rsidRPr="00723953">
        <w:rPr>
          <w:rFonts w:ascii="Calibri" w:hAnsi="Calibri"/>
          <w:sz w:val="18"/>
          <w:szCs w:val="18"/>
          <w:lang w:val="en-US"/>
        </w:rPr>
        <w:t xml:space="preserve"> E, </w:t>
      </w:r>
      <w:proofErr w:type="spellStart"/>
      <w:r w:rsidRPr="00723953">
        <w:rPr>
          <w:rFonts w:ascii="Calibri" w:hAnsi="Calibri"/>
          <w:sz w:val="18"/>
          <w:szCs w:val="18"/>
          <w:lang w:val="en-US"/>
        </w:rPr>
        <w:t>Bennouna</w:t>
      </w:r>
      <w:proofErr w:type="spellEnd"/>
      <w:r w:rsidRPr="00723953">
        <w:rPr>
          <w:rFonts w:ascii="Calibri" w:hAnsi="Calibri"/>
          <w:sz w:val="18"/>
          <w:szCs w:val="18"/>
          <w:lang w:val="en-US"/>
        </w:rPr>
        <w:t xml:space="preserve"> J, </w:t>
      </w:r>
      <w:proofErr w:type="spellStart"/>
      <w:r w:rsidRPr="00723953">
        <w:rPr>
          <w:rFonts w:ascii="Calibri" w:hAnsi="Calibri"/>
          <w:sz w:val="18"/>
          <w:szCs w:val="18"/>
          <w:lang w:val="en-US"/>
        </w:rPr>
        <w:t>Fonteneau</w:t>
      </w:r>
      <w:proofErr w:type="spellEnd"/>
      <w:r w:rsidRPr="00723953">
        <w:rPr>
          <w:rFonts w:ascii="Calibri" w:hAnsi="Calibri"/>
          <w:sz w:val="18"/>
          <w:szCs w:val="18"/>
          <w:lang w:val="en-US"/>
        </w:rPr>
        <w:t xml:space="preserve"> JF. </w:t>
      </w:r>
      <w:bookmarkEnd w:id="0"/>
      <w:r w:rsidRPr="0061182D">
        <w:rPr>
          <w:rFonts w:ascii="Calibri" w:hAnsi="Calibri"/>
          <w:sz w:val="18"/>
          <w:szCs w:val="18"/>
          <w:lang w:val="en-US"/>
        </w:rPr>
        <w:t xml:space="preserve">Homozygous Co-Deletion of Type I Interferons and CDKN2A Genes in Thoracic Cancers: Potential Consequences for Therapy. </w:t>
      </w:r>
      <w:r w:rsidRPr="0061182D">
        <w:rPr>
          <w:rFonts w:ascii="Calibri" w:hAnsi="Calibri"/>
          <w:i/>
          <w:iCs/>
          <w:sz w:val="18"/>
          <w:szCs w:val="18"/>
        </w:rPr>
        <w:t>Front Oncol</w:t>
      </w:r>
      <w:r w:rsidRPr="0061182D">
        <w:rPr>
          <w:rFonts w:ascii="Calibri" w:hAnsi="Calibri"/>
          <w:sz w:val="18"/>
          <w:szCs w:val="18"/>
        </w:rPr>
        <w:t>. 2021;11:695770. doi:10.3389/fonc.2021.695770</w:t>
      </w:r>
    </w:p>
    <w:p w:rsidR="0061182D" w:rsidRDefault="0061182D" w:rsidP="0061182D">
      <w:pPr>
        <w:spacing w:after="0"/>
      </w:pPr>
      <w:r w:rsidRPr="0061182D">
        <w:rPr>
          <w:sz w:val="18"/>
          <w:szCs w:val="18"/>
        </w:rPr>
        <w:fldChar w:fldCharType="end"/>
      </w:r>
    </w:p>
    <w:sectPr w:rsidR="0061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EF"/>
    <w:rsid w:val="00150F92"/>
    <w:rsid w:val="0061182D"/>
    <w:rsid w:val="00723953"/>
    <w:rsid w:val="00743FEF"/>
    <w:rsid w:val="00A84B03"/>
    <w:rsid w:val="00E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9EAF-487F-4637-9F92-CCA6CEE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61182D"/>
    <w:pPr>
      <w:tabs>
        <w:tab w:val="left" w:pos="264"/>
      </w:tabs>
      <w:spacing w:after="240" w:line="240" w:lineRule="auto"/>
      <w:ind w:left="264" w:hanging="264"/>
    </w:pPr>
  </w:style>
  <w:style w:type="character" w:styleId="Marquedecommentaire">
    <w:name w:val="annotation reference"/>
    <w:basedOn w:val="Policepardfaut"/>
    <w:uiPriority w:val="99"/>
    <w:semiHidden/>
    <w:unhideWhenUsed/>
    <w:rsid w:val="00150F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F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F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F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F9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fonteneau-jf</dc:creator>
  <cp:keywords/>
  <dc:description/>
  <cp:lastModifiedBy>fonteneau-jf</cp:lastModifiedBy>
  <cp:revision>2</cp:revision>
  <dcterms:created xsi:type="dcterms:W3CDTF">2024-01-09T09:47:00Z</dcterms:created>
  <dcterms:modified xsi:type="dcterms:W3CDTF">2024-01-09T09:47:00Z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id="y53wS2eL"/&gt;&lt;style id="http://www.zotero.org/styles/journal-of-thoracic-oncology" hasBibliography="1" bibliographyStyleHasBeenSet="1"/&gt;&lt;prefs&gt;&lt;pref name="fieldType" value="Field"/&gt;&lt;/prefs&gt;&lt;/data&gt;</vt:lpwstr>
  </property>
</Properties>
</file>